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F5B" w:rsidRPr="00602F5B" w:rsidRDefault="00602F5B" w:rsidP="00602F5B">
      <w:pPr>
        <w:spacing w:after="0" w:line="240" w:lineRule="auto"/>
        <w:jc w:val="center"/>
        <w:rPr>
          <w:rFonts w:ascii="Arial" w:eastAsia="Times New Roman" w:hAnsi="Arial" w:cs="Arial"/>
          <w:b/>
          <w:bCs/>
          <w:color w:val="003366"/>
          <w:sz w:val="20"/>
          <w:szCs w:val="20"/>
          <w:lang w:eastAsia="ru-RU"/>
        </w:rPr>
      </w:pPr>
      <w:r w:rsidRPr="00602F5B">
        <w:rPr>
          <w:rFonts w:ascii="Arial" w:eastAsia="Times New Roman" w:hAnsi="Arial" w:cs="Arial"/>
          <w:b/>
          <w:bCs/>
          <w:color w:val="003366"/>
          <w:sz w:val="20"/>
          <w:szCs w:val="20"/>
          <w:lang w:eastAsia="ru-RU"/>
        </w:rPr>
        <w:t>ПРАВИТЕЛЬСТВО БРЯНСКОЙ ОБЛАСТИ</w:t>
      </w:r>
    </w:p>
    <w:p w:rsidR="00602F5B" w:rsidRPr="00602F5B" w:rsidRDefault="00602F5B" w:rsidP="00602F5B">
      <w:pPr>
        <w:spacing w:after="75" w:line="240" w:lineRule="auto"/>
        <w:jc w:val="center"/>
        <w:rPr>
          <w:rFonts w:ascii="Arial" w:eastAsia="Times New Roman" w:hAnsi="Arial" w:cs="Arial"/>
          <w:color w:val="203463"/>
          <w:sz w:val="20"/>
          <w:szCs w:val="20"/>
          <w:lang w:eastAsia="ru-RU"/>
        </w:rPr>
      </w:pPr>
      <w:r w:rsidRPr="00602F5B">
        <w:rPr>
          <w:rFonts w:ascii="Arial" w:eastAsia="Times New Roman" w:hAnsi="Arial" w:cs="Arial"/>
          <w:noProof/>
          <w:color w:val="203463"/>
          <w:sz w:val="20"/>
          <w:szCs w:val="20"/>
          <w:lang w:eastAsia="ru-RU"/>
        </w:rPr>
        <w:drawing>
          <wp:inline distT="0" distB="0" distL="0" distR="0">
            <wp:extent cx="6985" cy="20320"/>
            <wp:effectExtent l="0" t="0" r="0" b="0"/>
            <wp:docPr id="1" name="Рисунок 1" descr="http://old.bryanskobl.ru/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bryanskobl.ru/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p>
    <w:p w:rsidR="00602F5B" w:rsidRPr="00602F5B" w:rsidRDefault="00602F5B" w:rsidP="00602F5B">
      <w:pPr>
        <w:spacing w:after="0" w:line="240" w:lineRule="auto"/>
        <w:jc w:val="center"/>
        <w:rPr>
          <w:rFonts w:ascii="Arial" w:eastAsia="Times New Roman" w:hAnsi="Arial" w:cs="Arial"/>
          <w:b/>
          <w:bCs/>
          <w:color w:val="003366"/>
          <w:sz w:val="20"/>
          <w:szCs w:val="20"/>
          <w:lang w:eastAsia="ru-RU"/>
        </w:rPr>
      </w:pPr>
      <w:r w:rsidRPr="00602F5B">
        <w:rPr>
          <w:rFonts w:ascii="Arial" w:eastAsia="Times New Roman" w:hAnsi="Arial" w:cs="Arial"/>
          <w:b/>
          <w:bCs/>
          <w:color w:val="003366"/>
          <w:sz w:val="20"/>
          <w:szCs w:val="20"/>
          <w:lang w:eastAsia="ru-RU"/>
        </w:rPr>
        <w:t>П О С Т А Н О В Л Е Н И Е</w:t>
      </w:r>
    </w:p>
    <w:p w:rsidR="00602F5B" w:rsidRPr="00602F5B" w:rsidRDefault="00602F5B" w:rsidP="00602F5B">
      <w:pPr>
        <w:spacing w:after="0" w:line="240" w:lineRule="auto"/>
        <w:rPr>
          <w:rFonts w:ascii="Times New Roman" w:eastAsia="Times New Roman" w:hAnsi="Times New Roman" w:cs="Times New Roman"/>
          <w:sz w:val="24"/>
          <w:szCs w:val="24"/>
          <w:lang w:eastAsia="ru-RU"/>
        </w:rPr>
      </w:pPr>
      <w:r w:rsidRPr="00602F5B">
        <w:rPr>
          <w:rFonts w:ascii="Arial" w:eastAsia="Times New Roman" w:hAnsi="Arial" w:cs="Arial"/>
          <w:color w:val="203463"/>
          <w:sz w:val="20"/>
          <w:szCs w:val="20"/>
          <w:lang w:eastAsia="ru-RU"/>
        </w:rPr>
        <w:br/>
      </w:r>
    </w:p>
    <w:tbl>
      <w:tblPr>
        <w:tblW w:w="2500" w:type="pct"/>
        <w:tblCellSpacing w:w="0" w:type="dxa"/>
        <w:tblCellMar>
          <w:left w:w="0" w:type="dxa"/>
          <w:right w:w="0" w:type="dxa"/>
        </w:tblCellMar>
        <w:tblLook w:val="04A0" w:firstRow="1" w:lastRow="0" w:firstColumn="1" w:lastColumn="0" w:noHBand="0" w:noVBand="1"/>
      </w:tblPr>
      <w:tblGrid>
        <w:gridCol w:w="4678"/>
      </w:tblGrid>
      <w:tr w:rsidR="00602F5B" w:rsidRPr="00602F5B" w:rsidTr="00602F5B">
        <w:trPr>
          <w:tblCellSpacing w:w="0" w:type="dxa"/>
        </w:trPr>
        <w:tc>
          <w:tcPr>
            <w:tcW w:w="0" w:type="auto"/>
            <w:vAlign w:val="center"/>
            <w:hideMark/>
          </w:tcPr>
          <w:p w:rsidR="00602F5B" w:rsidRPr="00602F5B" w:rsidRDefault="00602F5B" w:rsidP="00602F5B">
            <w:pPr>
              <w:spacing w:after="0" w:line="240" w:lineRule="auto"/>
              <w:jc w:val="both"/>
              <w:rPr>
                <w:rFonts w:ascii="Arial" w:eastAsia="Times New Roman" w:hAnsi="Arial" w:cs="Arial"/>
                <w:color w:val="203463"/>
                <w:sz w:val="20"/>
                <w:szCs w:val="20"/>
                <w:lang w:eastAsia="ru-RU"/>
              </w:rPr>
            </w:pPr>
            <w:r w:rsidRPr="00602F5B">
              <w:rPr>
                <w:rFonts w:ascii="Arial" w:eastAsia="Times New Roman" w:hAnsi="Arial" w:cs="Arial"/>
                <w:color w:val="203463"/>
                <w:sz w:val="20"/>
                <w:szCs w:val="20"/>
                <w:lang w:eastAsia="ru-RU"/>
              </w:rPr>
              <w:t>от 29 марта 2021 г. № 108-п</w:t>
            </w:r>
            <w:r w:rsidRPr="00602F5B">
              <w:rPr>
                <w:rFonts w:ascii="Arial" w:eastAsia="Times New Roman" w:hAnsi="Arial" w:cs="Arial"/>
                <w:color w:val="203463"/>
                <w:sz w:val="20"/>
                <w:szCs w:val="20"/>
                <w:lang w:eastAsia="ru-RU"/>
              </w:rPr>
              <w:br/>
              <w:t>г. Брянск</w:t>
            </w:r>
          </w:p>
        </w:tc>
      </w:tr>
      <w:tr w:rsidR="00602F5B" w:rsidRPr="00602F5B" w:rsidTr="00602F5B">
        <w:trPr>
          <w:tblCellSpacing w:w="0" w:type="dxa"/>
        </w:trPr>
        <w:tc>
          <w:tcPr>
            <w:tcW w:w="0" w:type="auto"/>
            <w:vAlign w:val="center"/>
            <w:hideMark/>
          </w:tcPr>
          <w:p w:rsidR="00602F5B" w:rsidRPr="00602F5B" w:rsidRDefault="00602F5B" w:rsidP="00602F5B">
            <w:pPr>
              <w:spacing w:after="0" w:line="240" w:lineRule="auto"/>
              <w:jc w:val="both"/>
              <w:rPr>
                <w:rFonts w:ascii="Arial" w:eastAsia="Times New Roman" w:hAnsi="Arial" w:cs="Arial"/>
                <w:color w:val="203463"/>
                <w:sz w:val="20"/>
                <w:szCs w:val="20"/>
                <w:lang w:eastAsia="ru-RU"/>
              </w:rPr>
            </w:pPr>
            <w:r w:rsidRPr="00602F5B">
              <w:rPr>
                <w:rFonts w:ascii="Arial" w:eastAsia="Times New Roman" w:hAnsi="Arial" w:cs="Arial"/>
                <w:color w:val="203463"/>
                <w:sz w:val="20"/>
                <w:szCs w:val="20"/>
                <w:lang w:eastAsia="ru-RU"/>
              </w:rPr>
              <w:t> </w:t>
            </w:r>
          </w:p>
        </w:tc>
      </w:tr>
      <w:tr w:rsidR="00602F5B" w:rsidRPr="00602F5B" w:rsidTr="00602F5B">
        <w:trPr>
          <w:tblCellSpacing w:w="0" w:type="dxa"/>
        </w:trPr>
        <w:tc>
          <w:tcPr>
            <w:tcW w:w="0" w:type="auto"/>
            <w:vAlign w:val="center"/>
            <w:hideMark/>
          </w:tcPr>
          <w:p w:rsidR="00602F5B" w:rsidRPr="00602F5B" w:rsidRDefault="00602F5B" w:rsidP="00602F5B">
            <w:pPr>
              <w:spacing w:after="0" w:line="240" w:lineRule="auto"/>
              <w:jc w:val="both"/>
              <w:rPr>
                <w:rFonts w:ascii="Arial" w:eastAsia="Times New Roman" w:hAnsi="Arial" w:cs="Arial"/>
                <w:color w:val="203463"/>
                <w:sz w:val="20"/>
                <w:szCs w:val="20"/>
                <w:lang w:eastAsia="ru-RU"/>
              </w:rPr>
            </w:pPr>
            <w:r w:rsidRPr="00602F5B">
              <w:rPr>
                <w:rFonts w:ascii="Arial" w:eastAsia="Times New Roman" w:hAnsi="Arial" w:cs="Arial"/>
                <w:color w:val="203463"/>
                <w:sz w:val="20"/>
                <w:szCs w:val="20"/>
                <w:lang w:eastAsia="ru-RU"/>
              </w:rPr>
              <w:t>ОБ УСТАНОВЛЕНИИ РАЗМЕРА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2022 ГОД</w:t>
            </w:r>
          </w:p>
        </w:tc>
      </w:tr>
    </w:tbl>
    <w:p w:rsidR="00602F5B" w:rsidRPr="00602F5B" w:rsidRDefault="00602F5B" w:rsidP="00602F5B">
      <w:pPr>
        <w:spacing w:after="0" w:line="240" w:lineRule="auto"/>
        <w:jc w:val="both"/>
        <w:rPr>
          <w:rFonts w:ascii="Arial" w:eastAsia="Times New Roman" w:hAnsi="Arial" w:cs="Arial"/>
          <w:color w:val="203463"/>
          <w:sz w:val="20"/>
          <w:szCs w:val="20"/>
          <w:lang w:eastAsia="ru-RU"/>
        </w:rPr>
      </w:pPr>
    </w:p>
    <w:p w:rsidR="00602F5B" w:rsidRPr="00602F5B" w:rsidRDefault="00602F5B" w:rsidP="00602F5B">
      <w:pPr>
        <w:spacing w:before="100" w:beforeAutospacing="1" w:after="100" w:afterAutospacing="1" w:line="240" w:lineRule="auto"/>
        <w:jc w:val="both"/>
        <w:rPr>
          <w:rFonts w:ascii="Arial" w:eastAsia="Times New Roman" w:hAnsi="Arial" w:cs="Arial"/>
          <w:color w:val="203463"/>
          <w:sz w:val="20"/>
          <w:szCs w:val="20"/>
          <w:lang w:eastAsia="ru-RU"/>
        </w:rPr>
      </w:pPr>
      <w:r w:rsidRPr="00602F5B">
        <w:rPr>
          <w:rFonts w:ascii="Arial" w:eastAsia="Times New Roman" w:hAnsi="Arial" w:cs="Arial"/>
          <w:color w:val="203463"/>
          <w:sz w:val="20"/>
          <w:szCs w:val="20"/>
          <w:lang w:eastAsia="ru-RU"/>
        </w:rPr>
        <w:t>В соответствии со статьей 190 Жилищного кодекса Российской Федерации, статьей 18 Закона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 Правительство Брянской области</w:t>
      </w:r>
    </w:p>
    <w:p w:rsidR="00602F5B" w:rsidRPr="00602F5B" w:rsidRDefault="00602F5B" w:rsidP="00602F5B">
      <w:pPr>
        <w:spacing w:before="100" w:beforeAutospacing="1" w:after="100" w:afterAutospacing="1" w:line="240" w:lineRule="auto"/>
        <w:jc w:val="both"/>
        <w:rPr>
          <w:rFonts w:ascii="Arial" w:eastAsia="Times New Roman" w:hAnsi="Arial" w:cs="Arial"/>
          <w:color w:val="203463"/>
          <w:sz w:val="20"/>
          <w:szCs w:val="20"/>
          <w:lang w:eastAsia="ru-RU"/>
        </w:rPr>
      </w:pPr>
      <w:r w:rsidRPr="00602F5B">
        <w:rPr>
          <w:rFonts w:ascii="Arial" w:eastAsia="Times New Roman" w:hAnsi="Arial" w:cs="Arial"/>
          <w:color w:val="203463"/>
          <w:sz w:val="20"/>
          <w:szCs w:val="20"/>
          <w:lang w:eastAsia="ru-RU"/>
        </w:rPr>
        <w:t>ПОСТАНОВЛЯЕТ:</w:t>
      </w:r>
    </w:p>
    <w:p w:rsidR="00602F5B" w:rsidRPr="00602F5B" w:rsidRDefault="00602F5B" w:rsidP="00602F5B">
      <w:pPr>
        <w:spacing w:before="100" w:beforeAutospacing="1" w:after="100" w:afterAutospacing="1" w:line="240" w:lineRule="auto"/>
        <w:jc w:val="both"/>
        <w:rPr>
          <w:rFonts w:ascii="Arial" w:eastAsia="Times New Roman" w:hAnsi="Arial" w:cs="Arial"/>
          <w:color w:val="203463"/>
          <w:sz w:val="20"/>
          <w:szCs w:val="20"/>
          <w:lang w:eastAsia="ru-RU"/>
        </w:rPr>
      </w:pPr>
      <w:r w:rsidRPr="00602F5B">
        <w:rPr>
          <w:rFonts w:ascii="Arial" w:eastAsia="Times New Roman" w:hAnsi="Arial" w:cs="Arial"/>
          <w:color w:val="203463"/>
          <w:sz w:val="20"/>
          <w:szCs w:val="20"/>
          <w:lang w:eastAsia="ru-RU"/>
        </w:rPr>
        <w:t>1. Установить размер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2022 год согласно приложению.</w:t>
      </w:r>
      <w:r w:rsidRPr="00602F5B">
        <w:rPr>
          <w:rFonts w:ascii="Arial" w:eastAsia="Times New Roman" w:hAnsi="Arial" w:cs="Arial"/>
          <w:color w:val="203463"/>
          <w:sz w:val="20"/>
          <w:szCs w:val="20"/>
          <w:lang w:eastAsia="ru-RU"/>
        </w:rPr>
        <w:br/>
        <w:t>2. Опубликовать постановление на «Официальном интернет-портале правовой информации» (pravo.gov.ru).</w:t>
      </w:r>
      <w:r w:rsidRPr="00602F5B">
        <w:rPr>
          <w:rFonts w:ascii="Arial" w:eastAsia="Times New Roman" w:hAnsi="Arial" w:cs="Arial"/>
          <w:color w:val="203463"/>
          <w:sz w:val="20"/>
          <w:szCs w:val="20"/>
          <w:lang w:eastAsia="ru-RU"/>
        </w:rPr>
        <w:br/>
        <w:t>3. Постановление вступает в силу после его официального опубликования.</w:t>
      </w:r>
      <w:r w:rsidRPr="00602F5B">
        <w:rPr>
          <w:rFonts w:ascii="Arial" w:eastAsia="Times New Roman" w:hAnsi="Arial" w:cs="Arial"/>
          <w:color w:val="203463"/>
          <w:sz w:val="20"/>
          <w:szCs w:val="20"/>
          <w:lang w:eastAsia="ru-RU"/>
        </w:rPr>
        <w:br/>
        <w:t>4. Контроль за исполнением постановления возложить на заместителя Губернатора Брянской области Тимошенко С.М.</w:t>
      </w:r>
    </w:p>
    <w:p w:rsidR="00602F5B" w:rsidRPr="00602F5B" w:rsidRDefault="00602F5B" w:rsidP="00602F5B">
      <w:pPr>
        <w:spacing w:after="0" w:line="240" w:lineRule="auto"/>
        <w:rPr>
          <w:rFonts w:ascii="Times New Roman" w:eastAsia="Times New Roman" w:hAnsi="Times New Roman" w:cs="Times New Roman"/>
          <w:sz w:val="24"/>
          <w:szCs w:val="24"/>
          <w:lang w:eastAsia="ru-RU"/>
        </w:rPr>
      </w:pPr>
      <w:r w:rsidRPr="00602F5B">
        <w:rPr>
          <w:rFonts w:ascii="Arial" w:eastAsia="Times New Roman" w:hAnsi="Arial" w:cs="Arial"/>
          <w:color w:val="203463"/>
          <w:sz w:val="20"/>
          <w:szCs w:val="20"/>
          <w:lang w:eastAsia="ru-RU"/>
        </w:rPr>
        <w:br/>
      </w:r>
    </w:p>
    <w:tbl>
      <w:tblPr>
        <w:tblW w:w="5000" w:type="pct"/>
        <w:tblCellSpacing w:w="0" w:type="dxa"/>
        <w:tblCellMar>
          <w:left w:w="0" w:type="dxa"/>
          <w:right w:w="0" w:type="dxa"/>
        </w:tblCellMar>
        <w:tblLook w:val="04A0" w:firstRow="1" w:lastRow="0" w:firstColumn="1" w:lastColumn="0" w:noHBand="0" w:noVBand="1"/>
      </w:tblPr>
      <w:tblGrid>
        <w:gridCol w:w="7484"/>
        <w:gridCol w:w="1871"/>
      </w:tblGrid>
      <w:tr w:rsidR="00602F5B" w:rsidRPr="00602F5B" w:rsidTr="00602F5B">
        <w:trPr>
          <w:tblCellSpacing w:w="0" w:type="dxa"/>
        </w:trPr>
        <w:tc>
          <w:tcPr>
            <w:tcW w:w="4000" w:type="pct"/>
            <w:vAlign w:val="center"/>
            <w:hideMark/>
          </w:tcPr>
          <w:p w:rsidR="00602F5B" w:rsidRPr="00602F5B" w:rsidRDefault="00602F5B" w:rsidP="00602F5B">
            <w:pPr>
              <w:spacing w:after="0" w:line="240" w:lineRule="auto"/>
              <w:jc w:val="both"/>
              <w:rPr>
                <w:rFonts w:ascii="Arial" w:eastAsia="Times New Roman" w:hAnsi="Arial" w:cs="Arial"/>
                <w:color w:val="203463"/>
                <w:sz w:val="20"/>
                <w:szCs w:val="20"/>
                <w:lang w:eastAsia="ru-RU"/>
              </w:rPr>
            </w:pPr>
            <w:r w:rsidRPr="00602F5B">
              <w:rPr>
                <w:rFonts w:ascii="Arial" w:eastAsia="Times New Roman" w:hAnsi="Arial" w:cs="Arial"/>
                <w:color w:val="203463"/>
                <w:sz w:val="20"/>
                <w:szCs w:val="20"/>
                <w:lang w:eastAsia="ru-RU"/>
              </w:rPr>
              <w:t>Губернатор</w:t>
            </w:r>
          </w:p>
        </w:tc>
        <w:tc>
          <w:tcPr>
            <w:tcW w:w="1000" w:type="pct"/>
            <w:vAlign w:val="center"/>
            <w:hideMark/>
          </w:tcPr>
          <w:p w:rsidR="00602F5B" w:rsidRPr="00602F5B" w:rsidRDefault="00602F5B" w:rsidP="00602F5B">
            <w:pPr>
              <w:spacing w:after="0" w:line="240" w:lineRule="auto"/>
              <w:jc w:val="both"/>
              <w:rPr>
                <w:rFonts w:ascii="Arial" w:eastAsia="Times New Roman" w:hAnsi="Arial" w:cs="Arial"/>
                <w:color w:val="203463"/>
                <w:sz w:val="20"/>
                <w:szCs w:val="20"/>
                <w:lang w:eastAsia="ru-RU"/>
              </w:rPr>
            </w:pPr>
            <w:proofErr w:type="spellStart"/>
            <w:r w:rsidRPr="00602F5B">
              <w:rPr>
                <w:rFonts w:ascii="Arial" w:eastAsia="Times New Roman" w:hAnsi="Arial" w:cs="Arial"/>
                <w:color w:val="203463"/>
                <w:sz w:val="20"/>
                <w:szCs w:val="20"/>
                <w:lang w:eastAsia="ru-RU"/>
              </w:rPr>
              <w:t>А.В.Богомаз</w:t>
            </w:r>
            <w:proofErr w:type="spellEnd"/>
          </w:p>
        </w:tc>
      </w:tr>
    </w:tbl>
    <w:p w:rsidR="00602F5B" w:rsidRDefault="00602F5B" w:rsidP="00D4659F">
      <w:pPr>
        <w:spacing w:after="0" w:line="240" w:lineRule="auto"/>
        <w:jc w:val="both"/>
        <w:rPr>
          <w:rFonts w:ascii="Arial" w:eastAsia="Times New Roman" w:hAnsi="Arial" w:cs="Arial"/>
          <w:b/>
          <w:bCs/>
          <w:color w:val="203463"/>
          <w:sz w:val="20"/>
          <w:szCs w:val="20"/>
          <w:lang w:eastAsia="ru-RU"/>
        </w:rPr>
      </w:pPr>
      <w:r w:rsidRPr="00602F5B">
        <w:rPr>
          <w:rFonts w:ascii="Arial" w:eastAsia="Times New Roman" w:hAnsi="Arial" w:cs="Arial"/>
          <w:color w:val="203463"/>
          <w:sz w:val="20"/>
          <w:szCs w:val="20"/>
          <w:lang w:eastAsia="ru-RU"/>
        </w:rPr>
        <w:br/>
      </w: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p w:rsidR="00D4659F" w:rsidRDefault="00D4659F" w:rsidP="00D4659F">
      <w:pPr>
        <w:spacing w:after="0" w:line="240" w:lineRule="auto"/>
        <w:jc w:val="both"/>
        <w:rPr>
          <w:rFonts w:ascii="Arial" w:eastAsia="Times New Roman" w:hAnsi="Arial" w:cs="Arial"/>
          <w:color w:val="203463"/>
          <w:sz w:val="20"/>
          <w:szCs w:val="20"/>
          <w:lang w:eastAsia="ru-RU"/>
        </w:rPr>
      </w:pPr>
    </w:p>
    <w:tbl>
      <w:tblPr>
        <w:tblW w:w="1500" w:type="pct"/>
        <w:jc w:val="right"/>
        <w:tblCellSpacing w:w="0" w:type="dxa"/>
        <w:tblCellMar>
          <w:left w:w="0" w:type="dxa"/>
          <w:right w:w="0" w:type="dxa"/>
        </w:tblCellMar>
        <w:tblLook w:val="04A0" w:firstRow="1" w:lastRow="0" w:firstColumn="1" w:lastColumn="0" w:noHBand="0" w:noVBand="1"/>
      </w:tblPr>
      <w:tblGrid>
        <w:gridCol w:w="2807"/>
      </w:tblGrid>
      <w:tr w:rsidR="00D4659F" w:rsidTr="00D4659F">
        <w:trPr>
          <w:tblCellSpacing w:w="0" w:type="dxa"/>
          <w:jc w:val="right"/>
        </w:trPr>
        <w:tc>
          <w:tcPr>
            <w:tcW w:w="0" w:type="auto"/>
            <w:vAlign w:val="center"/>
            <w:hideMark/>
          </w:tcPr>
          <w:p w:rsidR="00D4659F" w:rsidRDefault="00D4659F">
            <w:pPr>
              <w:jc w:val="center"/>
              <w:rPr>
                <w:rFonts w:ascii="Arial" w:hAnsi="Arial" w:cs="Arial"/>
                <w:color w:val="203463"/>
              </w:rPr>
            </w:pPr>
            <w:r>
              <w:rPr>
                <w:rFonts w:ascii="Arial" w:hAnsi="Arial" w:cs="Arial"/>
                <w:color w:val="203463"/>
              </w:rPr>
              <w:lastRenderedPageBreak/>
              <w:t>Приложение</w:t>
            </w:r>
          </w:p>
          <w:p w:rsidR="00D4659F" w:rsidRDefault="00D4659F">
            <w:pPr>
              <w:rPr>
                <w:rFonts w:ascii="Arial" w:hAnsi="Arial" w:cs="Arial"/>
                <w:color w:val="203463"/>
              </w:rPr>
            </w:pPr>
            <w:r>
              <w:rPr>
                <w:rFonts w:ascii="Arial" w:hAnsi="Arial" w:cs="Arial"/>
                <w:color w:val="203463"/>
              </w:rPr>
              <w:t>к </w:t>
            </w:r>
            <w:r w:rsidRPr="00D4659F">
              <w:rPr>
                <w:rFonts w:ascii="Arial" w:hAnsi="Arial" w:cs="Arial"/>
                <w:color w:val="203463"/>
              </w:rPr>
              <w:t>постановлению</w:t>
            </w:r>
            <w:r>
              <w:rPr>
                <w:rFonts w:ascii="Arial" w:hAnsi="Arial" w:cs="Arial"/>
                <w:color w:val="3960BC"/>
              </w:rPr>
              <w:br/>
            </w:r>
            <w:r w:rsidRPr="00D4659F">
              <w:rPr>
                <w:rFonts w:ascii="Arial" w:hAnsi="Arial" w:cs="Arial"/>
                <w:color w:val="203463"/>
              </w:rPr>
              <w:t>Правительства Брянской области</w:t>
            </w:r>
            <w:r>
              <w:rPr>
                <w:rFonts w:ascii="Arial" w:hAnsi="Arial" w:cs="Arial"/>
                <w:color w:val="3960BC"/>
              </w:rPr>
              <w:br/>
            </w:r>
            <w:r w:rsidRPr="00D4659F">
              <w:rPr>
                <w:rFonts w:ascii="Arial" w:hAnsi="Arial" w:cs="Arial"/>
                <w:color w:val="203463"/>
              </w:rPr>
              <w:t xml:space="preserve">от 29 марта </w:t>
            </w:r>
            <w:proofErr w:type="gramStart"/>
            <w:r w:rsidRPr="00D4659F">
              <w:rPr>
                <w:rFonts w:ascii="Arial" w:hAnsi="Arial" w:cs="Arial"/>
                <w:color w:val="203463"/>
              </w:rPr>
              <w:t>2021  №</w:t>
            </w:r>
            <w:proofErr w:type="gramEnd"/>
            <w:r w:rsidRPr="00D4659F">
              <w:rPr>
                <w:rFonts w:ascii="Arial" w:hAnsi="Arial" w:cs="Arial"/>
                <w:color w:val="203463"/>
              </w:rPr>
              <w:t> 108-п</w:t>
            </w:r>
          </w:p>
        </w:tc>
      </w:tr>
    </w:tbl>
    <w:p w:rsidR="00D4659F" w:rsidRDefault="00D4659F" w:rsidP="00D4659F">
      <w:pPr>
        <w:jc w:val="both"/>
        <w:rPr>
          <w:rFonts w:ascii="Arial" w:hAnsi="Arial" w:cs="Arial"/>
          <w:color w:val="203463"/>
          <w:sz w:val="20"/>
          <w:szCs w:val="20"/>
        </w:rPr>
      </w:pPr>
      <w:r>
        <w:rPr>
          <w:rFonts w:ascii="Arial" w:hAnsi="Arial" w:cs="Arial"/>
          <w:color w:val="203463"/>
          <w:sz w:val="20"/>
          <w:szCs w:val="20"/>
        </w:rPr>
        <w:t> </w:t>
      </w:r>
    </w:p>
    <w:p w:rsidR="00D4659F" w:rsidRDefault="00D4659F" w:rsidP="00D4659F">
      <w:pPr>
        <w:jc w:val="both"/>
        <w:rPr>
          <w:rFonts w:ascii="Arial" w:hAnsi="Arial" w:cs="Arial"/>
          <w:color w:val="203463"/>
          <w:sz w:val="20"/>
          <w:szCs w:val="20"/>
        </w:rPr>
      </w:pPr>
      <w:r>
        <w:rPr>
          <w:rFonts w:ascii="Arial" w:hAnsi="Arial" w:cs="Arial"/>
          <w:color w:val="203463"/>
          <w:sz w:val="20"/>
          <w:szCs w:val="20"/>
        </w:rPr>
        <w:t> </w:t>
      </w:r>
    </w:p>
    <w:p w:rsidR="00D4659F" w:rsidRDefault="00D4659F" w:rsidP="00D4659F">
      <w:pPr>
        <w:jc w:val="both"/>
        <w:rPr>
          <w:rFonts w:ascii="Arial" w:hAnsi="Arial" w:cs="Arial"/>
          <w:color w:val="203463"/>
          <w:sz w:val="20"/>
          <w:szCs w:val="20"/>
        </w:rPr>
      </w:pPr>
      <w:r>
        <w:rPr>
          <w:rFonts w:ascii="Arial" w:hAnsi="Arial" w:cs="Arial"/>
          <w:color w:val="203463"/>
          <w:sz w:val="20"/>
          <w:szCs w:val="20"/>
        </w:rPr>
        <w:t> </w:t>
      </w:r>
      <w:bookmarkStart w:id="0" w:name="_GoBack"/>
      <w:bookmarkEnd w:id="0"/>
    </w:p>
    <w:p w:rsidR="00D4659F" w:rsidRDefault="00D4659F" w:rsidP="00D4659F">
      <w:pPr>
        <w:jc w:val="center"/>
        <w:rPr>
          <w:rFonts w:ascii="Arial" w:hAnsi="Arial" w:cs="Arial"/>
          <w:color w:val="203463"/>
          <w:sz w:val="20"/>
          <w:szCs w:val="20"/>
        </w:rPr>
      </w:pPr>
      <w:r>
        <w:rPr>
          <w:rFonts w:ascii="Arial" w:hAnsi="Arial" w:cs="Arial"/>
          <w:color w:val="203463"/>
          <w:sz w:val="20"/>
          <w:szCs w:val="20"/>
        </w:rPr>
        <w:t>РАЗМЕР</w:t>
      </w:r>
    </w:p>
    <w:p w:rsidR="00D4659F" w:rsidRDefault="00D4659F" w:rsidP="00D4659F">
      <w:pPr>
        <w:jc w:val="center"/>
        <w:rPr>
          <w:rFonts w:ascii="Arial" w:hAnsi="Arial" w:cs="Arial"/>
          <w:color w:val="203463"/>
          <w:sz w:val="20"/>
          <w:szCs w:val="20"/>
        </w:rPr>
      </w:pPr>
      <w:r>
        <w:rPr>
          <w:rFonts w:ascii="Arial" w:hAnsi="Arial" w:cs="Arial"/>
          <w:color w:val="203463"/>
          <w:sz w:val="20"/>
          <w:szCs w:val="20"/>
        </w:rPr>
        <w:t>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2022 год</w:t>
      </w:r>
    </w:p>
    <w:p w:rsidR="00D4659F" w:rsidRDefault="00D4659F" w:rsidP="00D4659F">
      <w:pPr>
        <w:jc w:val="center"/>
        <w:rPr>
          <w:rFonts w:ascii="Arial" w:hAnsi="Arial" w:cs="Arial"/>
          <w:color w:val="203463"/>
          <w:sz w:val="20"/>
          <w:szCs w:val="20"/>
        </w:rPr>
      </w:pPr>
      <w:r>
        <w:rPr>
          <w:rFonts w:ascii="Arial" w:hAnsi="Arial" w:cs="Arial"/>
          <w:color w:val="203463"/>
          <w:sz w:val="20"/>
          <w:szCs w:val="20"/>
        </w:rPr>
        <w:t> </w:t>
      </w:r>
    </w:p>
    <w:tbl>
      <w:tblPr>
        <w:tblW w:w="5000" w:type="pct"/>
        <w:tblCellSpacing w:w="7" w:type="dxa"/>
        <w:shd w:val="clear" w:color="auto" w:fill="006699"/>
        <w:tblCellMar>
          <w:top w:w="15" w:type="dxa"/>
          <w:left w:w="15" w:type="dxa"/>
          <w:bottom w:w="15" w:type="dxa"/>
          <w:right w:w="15" w:type="dxa"/>
        </w:tblCellMar>
        <w:tblLook w:val="04A0" w:firstRow="1" w:lastRow="0" w:firstColumn="1" w:lastColumn="0" w:noHBand="0" w:noVBand="1"/>
      </w:tblPr>
      <w:tblGrid>
        <w:gridCol w:w="500"/>
        <w:gridCol w:w="2980"/>
        <w:gridCol w:w="1982"/>
        <w:gridCol w:w="1402"/>
        <w:gridCol w:w="2491"/>
      </w:tblGrid>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 xml:space="preserve">№ </w:t>
            </w:r>
            <w:proofErr w:type="spellStart"/>
            <w:r>
              <w:rPr>
                <w:rFonts w:ascii="Arial" w:hAnsi="Arial" w:cs="Arial"/>
                <w:color w:val="203463"/>
                <w:sz w:val="20"/>
                <w:szCs w:val="20"/>
              </w:rPr>
              <w:t>пп</w:t>
            </w:r>
            <w:proofErr w:type="spellEnd"/>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Наименование работ по капитальному ремонту</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Единица измерения</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Размер предельной стоимости (рублей)</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Размер предельной стоимости (рублей), включая разработку проектной документации и осуществление строительного контроля</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Ремонт крыши:</w:t>
            </w:r>
          </w:p>
        </w:tc>
        <w:tc>
          <w:tcPr>
            <w:tcW w:w="0" w:type="auto"/>
            <w:vMerge w:val="restart"/>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 xml:space="preserve">1 кв. </w:t>
            </w:r>
            <w:proofErr w:type="spellStart"/>
            <w:r>
              <w:rPr>
                <w:rFonts w:ascii="Arial" w:hAnsi="Arial" w:cs="Arial"/>
                <w:color w:val="203463"/>
                <w:sz w:val="20"/>
                <w:szCs w:val="20"/>
              </w:rPr>
              <w:t>мплощади</w:t>
            </w:r>
            <w:proofErr w:type="spellEnd"/>
            <w:r>
              <w:rPr>
                <w:rFonts w:ascii="Arial" w:hAnsi="Arial" w:cs="Arial"/>
                <w:color w:val="203463"/>
                <w:sz w:val="20"/>
                <w:szCs w:val="20"/>
              </w:rPr>
              <w:t xml:space="preserve"> кровли</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 </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 </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1.1.</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Скатной</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5 299,53</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5 538,01</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1.2.</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Плоской</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5 520,89</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5 769,34</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2.</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Переустройство невентилируемой крыши на вентилируемую крышу, устройство выходов на кровлю</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7 629,56</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7 972,88</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3.</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Утепление фасада</w:t>
            </w:r>
          </w:p>
        </w:tc>
        <w:tc>
          <w:tcPr>
            <w:tcW w:w="0" w:type="auto"/>
            <w:vMerge w:val="restart"/>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кв. м площади фасада</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3 750,62</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3 919,39</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4.</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Ремонт фасада</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8 792,93</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9 188,61</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5.</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Ремонт подвальных помещений, относящихся к общему имуществу в многоквартирном доме</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кв. м площади подвала</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1 313,62</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1 372,73</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6.</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Ремонт внутридомовых инженерных систем:</w:t>
            </w:r>
          </w:p>
        </w:tc>
        <w:tc>
          <w:tcPr>
            <w:tcW w:w="0" w:type="auto"/>
            <w:vMerge w:val="restart"/>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кв. м общей площади многоквартирного дома</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 </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 </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6.1.</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Электроснабжения</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896,38</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936,72</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6.2.</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Электроснабжения с системой оповещения при пожаре</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1 107,27</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1 157,10</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6.3.</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Теплоснабжения</w:t>
            </w:r>
          </w:p>
        </w:tc>
        <w:tc>
          <w:tcPr>
            <w:tcW w:w="0" w:type="auto"/>
            <w:vMerge w:val="restart"/>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 xml:space="preserve">на 1 </w:t>
            </w:r>
            <w:proofErr w:type="spellStart"/>
            <w:r>
              <w:rPr>
                <w:rFonts w:ascii="Arial" w:hAnsi="Arial" w:cs="Arial"/>
                <w:color w:val="203463"/>
                <w:sz w:val="20"/>
                <w:szCs w:val="20"/>
              </w:rPr>
              <w:t>пог</w:t>
            </w:r>
            <w:proofErr w:type="spellEnd"/>
            <w:r>
              <w:rPr>
                <w:rFonts w:ascii="Arial" w:hAnsi="Arial" w:cs="Arial"/>
                <w:color w:val="203463"/>
                <w:sz w:val="20"/>
                <w:szCs w:val="20"/>
              </w:rPr>
              <w:t>. м трубопровода</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2 292,25</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2 395,40</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6.4.</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Горячего водоснабжения</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1 939,77</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2 027,05</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6.5.</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Холодного водоснабжения</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982,21</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1 026,41</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lastRenderedPageBreak/>
              <w:t>6.6.</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Холодного водоснабжения с сантехническими приборами</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1 353,71</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1 414,63</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6.7.</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Водоотведения</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1 294,11</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1 352,35</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6.8.</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Водоотведения с сантехническими приборами</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1 658,95</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1 733,60</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6.9.</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Газоснабжения</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2 839,84</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2 973,65</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7.</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Установка коллективных (общедомовых) приборов учета, узлов управления и регулирования:</w:t>
            </w:r>
          </w:p>
        </w:tc>
        <w:tc>
          <w:tcPr>
            <w:tcW w:w="0" w:type="auto"/>
            <w:vMerge w:val="restart"/>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шт.</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 </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 </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7.1.</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Холодной воды</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121 136,43</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126 587,57</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7.2.</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Горячей воды</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927 500,54</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969 238,07</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7.3.</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Тепловой энергии</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790 613,59</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826 191,20</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8.</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Ремонт или замена лифтового оборудования, ремонт лифтовых шахт:</w:t>
            </w:r>
          </w:p>
        </w:tc>
        <w:tc>
          <w:tcPr>
            <w:tcW w:w="0" w:type="auto"/>
            <w:vMerge w:val="restart"/>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лифт</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 </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 </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8.1.</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Грузоподъемностью 400 кг</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2 662 373,10</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2 782 179,90</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8.2.</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Грузоподъемностью 630 кг</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3 198 193,43</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3 342 112,13</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9.</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Государственная экспертиза проектной документации в объеме проверки сметной стоимости, в том числе объектов культурного наследия</w:t>
            </w:r>
          </w:p>
        </w:tc>
        <w:tc>
          <w:tcPr>
            <w:tcW w:w="0" w:type="auto"/>
            <w:vMerge w:val="restart"/>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 шт.</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24 000,00</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10.</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Экспертиза проектной документации:</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 </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 </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10.1.</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Объектов капитального ремонта</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24 000,00</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w:t>
            </w:r>
          </w:p>
        </w:tc>
      </w:tr>
      <w:tr w:rsidR="00D4659F" w:rsidTr="00D4659F">
        <w:trPr>
          <w:tblCellSpacing w:w="7" w:type="dxa"/>
        </w:trPr>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10.2.</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Объектов культурного наследия</w:t>
            </w:r>
          </w:p>
        </w:tc>
        <w:tc>
          <w:tcPr>
            <w:tcW w:w="0" w:type="auto"/>
            <w:vMerge/>
            <w:shd w:val="clear" w:color="auto" w:fill="006699"/>
            <w:vAlign w:val="center"/>
            <w:hideMark/>
          </w:tcPr>
          <w:p w:rsidR="00D4659F" w:rsidRDefault="00D4659F">
            <w:pPr>
              <w:jc w:val="both"/>
              <w:rPr>
                <w:rFonts w:ascii="Arial" w:hAnsi="Arial" w:cs="Arial"/>
                <w:color w:val="203463"/>
                <w:sz w:val="20"/>
                <w:szCs w:val="20"/>
              </w:rPr>
            </w:pP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210 000,00</w:t>
            </w:r>
          </w:p>
        </w:tc>
        <w:tc>
          <w:tcPr>
            <w:tcW w:w="0" w:type="auto"/>
            <w:shd w:val="clear" w:color="auto" w:fill="FFFFFF"/>
            <w:hideMark/>
          </w:tcPr>
          <w:p w:rsidR="00D4659F" w:rsidRDefault="00D4659F">
            <w:pPr>
              <w:jc w:val="both"/>
              <w:rPr>
                <w:rFonts w:ascii="Arial" w:hAnsi="Arial" w:cs="Arial"/>
                <w:color w:val="203463"/>
                <w:sz w:val="20"/>
                <w:szCs w:val="20"/>
              </w:rPr>
            </w:pPr>
            <w:r>
              <w:rPr>
                <w:rFonts w:ascii="Arial" w:hAnsi="Arial" w:cs="Arial"/>
                <w:color w:val="203463"/>
                <w:sz w:val="20"/>
                <w:szCs w:val="20"/>
              </w:rPr>
              <w:t>-</w:t>
            </w:r>
          </w:p>
        </w:tc>
      </w:tr>
    </w:tbl>
    <w:p w:rsidR="00D4659F" w:rsidRPr="00602F5B" w:rsidRDefault="00D4659F" w:rsidP="00D4659F">
      <w:pPr>
        <w:spacing w:after="0" w:line="240" w:lineRule="auto"/>
        <w:jc w:val="both"/>
        <w:rPr>
          <w:rFonts w:ascii="Arial" w:eastAsia="Times New Roman" w:hAnsi="Arial" w:cs="Arial"/>
          <w:color w:val="203463"/>
          <w:sz w:val="20"/>
          <w:szCs w:val="20"/>
          <w:lang w:eastAsia="ru-RU"/>
        </w:rPr>
      </w:pPr>
    </w:p>
    <w:p w:rsidR="00AB1084" w:rsidRDefault="00AB1084"/>
    <w:sectPr w:rsidR="00AB1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A0573"/>
    <w:multiLevelType w:val="multilevel"/>
    <w:tmpl w:val="60760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5B"/>
    <w:rsid w:val="00602F5B"/>
    <w:rsid w:val="00AB1084"/>
    <w:rsid w:val="00D4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1AD0"/>
  <w15:chartTrackingRefBased/>
  <w15:docId w15:val="{420690E4-4E6F-47D5-9C46-E77AFF11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2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65014">
      <w:bodyDiv w:val="1"/>
      <w:marLeft w:val="0"/>
      <w:marRight w:val="0"/>
      <w:marTop w:val="0"/>
      <w:marBottom w:val="0"/>
      <w:divBdr>
        <w:top w:val="none" w:sz="0" w:space="0" w:color="auto"/>
        <w:left w:val="none" w:sz="0" w:space="0" w:color="auto"/>
        <w:bottom w:val="none" w:sz="0" w:space="0" w:color="auto"/>
        <w:right w:val="none" w:sz="0" w:space="0" w:color="auto"/>
      </w:divBdr>
      <w:divsChild>
        <w:div w:id="254369154">
          <w:marLeft w:val="0"/>
          <w:marRight w:val="0"/>
          <w:marTop w:val="75"/>
          <w:marBottom w:val="75"/>
          <w:divBdr>
            <w:top w:val="none" w:sz="0" w:space="0" w:color="auto"/>
            <w:left w:val="none" w:sz="0" w:space="0" w:color="auto"/>
            <w:bottom w:val="none" w:sz="0" w:space="0" w:color="auto"/>
            <w:right w:val="none" w:sz="0" w:space="0" w:color="auto"/>
          </w:divBdr>
        </w:div>
      </w:divsChild>
    </w:div>
    <w:div w:id="20303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Ivanov</cp:lastModifiedBy>
  <cp:revision>2</cp:revision>
  <dcterms:created xsi:type="dcterms:W3CDTF">2021-04-19T12:16:00Z</dcterms:created>
  <dcterms:modified xsi:type="dcterms:W3CDTF">2021-04-19T12:17:00Z</dcterms:modified>
</cp:coreProperties>
</file>